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d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d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495388">
        <w:rPr>
          <w:color w:val="000000"/>
          <w:sz w:val="26"/>
          <w:szCs w:val="26"/>
        </w:rPr>
        <w:t>20</w:t>
      </w:r>
      <w:r w:rsidRPr="00A67775">
        <w:rPr>
          <w:color w:val="000000"/>
          <w:sz w:val="26"/>
          <w:szCs w:val="26"/>
        </w:rPr>
        <w:t>.</w:t>
      </w:r>
      <w:r w:rsidR="00495388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495388">
        <w:rPr>
          <w:color w:val="000000"/>
          <w:sz w:val="26"/>
          <w:szCs w:val="26"/>
        </w:rPr>
        <w:t>117в</w:t>
      </w:r>
    </w:p>
    <w:p w:rsidR="00A40EDD" w:rsidRDefault="007E0B27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</w:t>
      </w:r>
      <w:r w:rsidRPr="007E0B27">
        <w:rPr>
          <w:rFonts w:ascii="Times New Roman" w:eastAsia="Calibri" w:hAnsi="Times New Roman"/>
          <w:sz w:val="26"/>
          <w:szCs w:val="26"/>
        </w:rPr>
        <w:t>на территории</w:t>
      </w:r>
      <w:r w:rsidRPr="007E0B27">
        <w:rPr>
          <w:rFonts w:ascii="Times New Roman" w:hAnsi="Times New Roman"/>
          <w:sz w:val="26"/>
          <w:szCs w:val="26"/>
        </w:rPr>
        <w:t xml:space="preserve"> Парбигского сельского поселения Бакчарского района Томской области</w:t>
      </w:r>
    </w:p>
    <w:p w:rsidR="007E0B27" w:rsidRPr="007E0B27" w:rsidRDefault="007E0B27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94347D">
        <w:rPr>
          <w:rFonts w:ascii="Times New Roman" w:hAnsi="Times New Roman"/>
          <w:bCs/>
          <w:kern w:val="32"/>
        </w:rPr>
        <w:t>(</w:t>
      </w:r>
      <w:r w:rsidRPr="0094347D">
        <w:rPr>
          <w:rFonts w:ascii="Times New Roman" w:hAnsi="Times New Roman"/>
          <w:bCs/>
          <w:color w:val="2A11DF"/>
          <w:kern w:val="32"/>
        </w:rPr>
        <w:t>в редакции</w:t>
      </w:r>
      <w:r w:rsidRPr="0094347D">
        <w:rPr>
          <w:rFonts w:ascii="Times New Roman" w:hAnsi="Times New Roman"/>
          <w:bCs/>
          <w:kern w:val="32"/>
        </w:rPr>
        <w:t xml:space="preserve"> </w:t>
      </w:r>
      <w:r w:rsidRPr="0094347D">
        <w:rPr>
          <w:rFonts w:ascii="Times New Roman" w:hAnsi="Times New Roman"/>
          <w:bCs/>
          <w:color w:val="0000FF"/>
          <w:kern w:val="32"/>
        </w:rPr>
        <w:t>Постановления № 4</w:t>
      </w:r>
      <w:r>
        <w:rPr>
          <w:rFonts w:ascii="Times New Roman" w:hAnsi="Times New Roman"/>
          <w:bCs/>
          <w:color w:val="0000FF"/>
          <w:kern w:val="32"/>
        </w:rPr>
        <w:t>5</w:t>
      </w:r>
      <w:r w:rsidRPr="0094347D">
        <w:rPr>
          <w:rFonts w:ascii="Times New Roman" w:hAnsi="Times New Roman"/>
          <w:bCs/>
          <w:color w:val="0000FF"/>
          <w:kern w:val="32"/>
        </w:rPr>
        <w:t xml:space="preserve"> от 08.04.2022г</w:t>
      </w:r>
      <w:r w:rsidRPr="0094347D">
        <w:rPr>
          <w:rFonts w:ascii="Times New Roman" w:hAnsi="Times New Roman"/>
          <w:bCs/>
          <w:kern w:val="32"/>
        </w:rPr>
        <w:t>)</w:t>
      </w:r>
    </w:p>
    <w:p w:rsidR="00A40EDD" w:rsidRP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7E0B27" w:rsidRDefault="007E0B27" w:rsidP="007E0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0"/>
          <w:rFonts w:ascii="Times New Roman" w:hAnsi="Times New Roman"/>
          <w:bCs/>
          <w:i w:val="0"/>
          <w:iCs w:val="0"/>
          <w:sz w:val="26"/>
          <w:szCs w:val="26"/>
          <w:lang w:eastAsia="ru-RU"/>
        </w:rPr>
      </w:pPr>
      <w:r>
        <w:rPr>
          <w:rStyle w:val="af0"/>
          <w:i w:val="0"/>
          <w:sz w:val="26"/>
          <w:szCs w:val="26"/>
        </w:rPr>
        <w:t xml:space="preserve">         </w:t>
      </w:r>
      <w:r w:rsidRPr="007E0B27">
        <w:rPr>
          <w:rFonts w:ascii="Times New Roman" w:hAnsi="Times New Roman"/>
          <w:color w:val="000000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E0B27">
        <w:rPr>
          <w:rFonts w:ascii="Times New Roman" w:hAnsi="Times New Roman"/>
          <w:sz w:val="26"/>
          <w:szCs w:val="26"/>
        </w:rPr>
        <w:t xml:space="preserve">, Уставом муниципального образования «Парбигское сельское поселение  Бакчарского района Томской области» </w:t>
      </w:r>
      <w:r w:rsidRPr="0094347D">
        <w:rPr>
          <w:rFonts w:ascii="Times New Roman" w:hAnsi="Times New Roman"/>
          <w:bCs/>
          <w:kern w:val="32"/>
        </w:rPr>
        <w:t>(</w:t>
      </w:r>
      <w:r w:rsidRPr="0094347D">
        <w:rPr>
          <w:rFonts w:ascii="Times New Roman" w:hAnsi="Times New Roman"/>
          <w:bCs/>
          <w:color w:val="2A11DF"/>
          <w:kern w:val="32"/>
        </w:rPr>
        <w:t>в редакции</w:t>
      </w:r>
      <w:r w:rsidRPr="0094347D">
        <w:rPr>
          <w:rFonts w:ascii="Times New Roman" w:hAnsi="Times New Roman"/>
          <w:bCs/>
          <w:kern w:val="32"/>
        </w:rPr>
        <w:t xml:space="preserve"> </w:t>
      </w:r>
      <w:r w:rsidRPr="0094347D">
        <w:rPr>
          <w:rFonts w:ascii="Times New Roman" w:hAnsi="Times New Roman"/>
          <w:bCs/>
          <w:color w:val="0000FF"/>
          <w:kern w:val="32"/>
        </w:rPr>
        <w:t>Постановления № 4</w:t>
      </w:r>
      <w:r>
        <w:rPr>
          <w:rFonts w:ascii="Times New Roman" w:hAnsi="Times New Roman"/>
          <w:bCs/>
          <w:color w:val="0000FF"/>
          <w:kern w:val="32"/>
        </w:rPr>
        <w:t>5</w:t>
      </w:r>
      <w:r w:rsidRPr="0094347D">
        <w:rPr>
          <w:rFonts w:ascii="Times New Roman" w:hAnsi="Times New Roman"/>
          <w:bCs/>
          <w:color w:val="0000FF"/>
          <w:kern w:val="32"/>
        </w:rPr>
        <w:t xml:space="preserve"> от 08.04.2022г</w:t>
      </w:r>
      <w:r w:rsidRPr="0094347D">
        <w:rPr>
          <w:rFonts w:ascii="Times New Roman" w:hAnsi="Times New Roman"/>
          <w:bCs/>
          <w:kern w:val="32"/>
        </w:rPr>
        <w:t>)</w:t>
      </w:r>
      <w:r w:rsidR="00A40EDD" w:rsidRPr="007E0B27">
        <w:rPr>
          <w:rStyle w:val="af0"/>
          <w:i w:val="0"/>
          <w:sz w:val="26"/>
          <w:szCs w:val="26"/>
        </w:rPr>
        <w:t>:</w:t>
      </w:r>
    </w:p>
    <w:p w:rsidR="00A40EDD" w:rsidRPr="00A40EDD" w:rsidRDefault="00A40EDD" w:rsidP="00A40EDD">
      <w:pPr>
        <w:pStyle w:val="af5"/>
        <w:spacing w:before="0" w:beforeAutospacing="0" w:afterAutospacing="0"/>
        <w:jc w:val="both"/>
        <w:rPr>
          <w:rStyle w:val="af0"/>
          <w:i w:val="0"/>
          <w:sz w:val="26"/>
          <w:szCs w:val="26"/>
        </w:rPr>
      </w:pPr>
    </w:p>
    <w:p w:rsidR="00A40EDD" w:rsidRPr="00631C87" w:rsidRDefault="00A40EDD" w:rsidP="00A40EDD">
      <w:pPr>
        <w:pStyle w:val="af5"/>
        <w:spacing w:before="0" w:beforeAutospacing="0" w:afterAutospacing="0"/>
        <w:jc w:val="both"/>
        <w:rPr>
          <w:rStyle w:val="af0"/>
          <w:i w:val="0"/>
        </w:rPr>
      </w:pPr>
      <w:r>
        <w:rPr>
          <w:rStyle w:val="af0"/>
          <w:i w:val="0"/>
        </w:rPr>
        <w:t>ПОСТАНОВЛЯЮ:</w:t>
      </w:r>
    </w:p>
    <w:p w:rsidR="00A40EDD" w:rsidRDefault="00A40EDD" w:rsidP="005A77C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Style w:val="af0"/>
          <w:rFonts w:ascii="Times New Roman" w:hAnsi="Times New Roman"/>
          <w:i w:val="0"/>
          <w:sz w:val="26"/>
          <w:szCs w:val="26"/>
        </w:rPr>
      </w:pPr>
      <w:r w:rsidRPr="00A40EDD">
        <w:rPr>
          <w:rStyle w:val="af0"/>
          <w:rFonts w:ascii="Times New Roman" w:hAnsi="Times New Roman"/>
          <w:i w:val="0"/>
          <w:sz w:val="26"/>
          <w:szCs w:val="26"/>
        </w:rPr>
        <w:t>Утвердить Программу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ж</w:t>
      </w:r>
      <w:r>
        <w:rPr>
          <w:rStyle w:val="af0"/>
          <w:rFonts w:ascii="Times New Roman" w:hAnsi="Times New Roman"/>
          <w:i w:val="0"/>
          <w:sz w:val="26"/>
          <w:szCs w:val="26"/>
        </w:rPr>
        <w:t>илищного контроля на территории Парбиг</w:t>
      </w:r>
      <w:r w:rsidRPr="00A40EDD">
        <w:rPr>
          <w:rStyle w:val="af0"/>
          <w:rFonts w:ascii="Times New Roman" w:hAnsi="Times New Roman"/>
          <w:i w:val="0"/>
          <w:sz w:val="26"/>
          <w:szCs w:val="26"/>
        </w:rPr>
        <w:t>ского  сельского поселения Бакчарского района Томской области на 2022 год и на плановый период 2023 и 2024 годов (далее по тексту – Программа),</w:t>
      </w:r>
      <w:r>
        <w:rPr>
          <w:rStyle w:val="af0"/>
          <w:rFonts w:ascii="Times New Roman" w:hAnsi="Times New Roman"/>
          <w:i w:val="0"/>
          <w:sz w:val="26"/>
          <w:szCs w:val="26"/>
        </w:rPr>
        <w:t xml:space="preserve"> </w:t>
      </w:r>
      <w:r w:rsidRPr="00A40EDD">
        <w:rPr>
          <w:rStyle w:val="af0"/>
          <w:rFonts w:ascii="Times New Roman" w:hAnsi="Times New Roman"/>
          <w:i w:val="0"/>
          <w:sz w:val="26"/>
          <w:szCs w:val="26"/>
        </w:rPr>
        <w:t>согласно приложению к настоящему постановлению.</w:t>
      </w:r>
    </w:p>
    <w:p w:rsidR="00A40EDD" w:rsidRDefault="00A40EDD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af0"/>
          <w:rFonts w:ascii="Times New Roman" w:hAnsi="Times New Roman"/>
          <w:i w:val="0"/>
          <w:sz w:val="26"/>
          <w:szCs w:val="26"/>
        </w:rPr>
        <w:t xml:space="preserve">        </w:t>
      </w:r>
      <w:r w:rsidR="00B13A0F" w:rsidRPr="00A40EDD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 2. </w:t>
      </w:r>
      <w:r w:rsidR="009D62D4" w:rsidRPr="00A40EDD">
        <w:rPr>
          <w:rFonts w:ascii="Times New Roman" w:hAnsi="Times New Roman"/>
          <w:sz w:val="26"/>
          <w:szCs w:val="26"/>
        </w:rPr>
        <w:t xml:space="preserve">    </w:t>
      </w:r>
      <w:r w:rsidR="0016334E" w:rsidRPr="00A40EDD">
        <w:rPr>
          <w:rFonts w:ascii="Times New Roman" w:hAnsi="Times New Roman"/>
          <w:sz w:val="26"/>
          <w:szCs w:val="26"/>
        </w:rPr>
        <w:t>Настоящее решение вступает в силу с 01.01.2022 г.</w:t>
      </w:r>
    </w:p>
    <w:p w:rsidR="00A40EDD" w:rsidRDefault="00B13A0F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0EDD">
        <w:rPr>
          <w:rFonts w:ascii="Times New Roman" w:hAnsi="Times New Roman"/>
          <w:sz w:val="26"/>
          <w:szCs w:val="26"/>
        </w:rPr>
        <w:t xml:space="preserve">          </w:t>
      </w:r>
      <w:r w:rsidR="0016334E">
        <w:rPr>
          <w:rFonts w:ascii="Times New Roman" w:hAnsi="Times New Roman"/>
          <w:sz w:val="26"/>
          <w:szCs w:val="26"/>
        </w:rPr>
        <w:t>3.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16334E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7E0B27" w:rsidRDefault="007E0B27" w:rsidP="007E0B27">
      <w:pPr>
        <w:rPr>
          <w:lang w:eastAsia="ru-RU"/>
        </w:rPr>
      </w:pPr>
    </w:p>
    <w:p w:rsidR="007E0B27" w:rsidRPr="007E0B27" w:rsidRDefault="007E0B27" w:rsidP="007E0B27">
      <w:pPr>
        <w:rPr>
          <w:lang w:eastAsia="ru-RU"/>
        </w:rPr>
      </w:pPr>
    </w:p>
    <w:p w:rsidR="005846B2" w:rsidRDefault="005846B2" w:rsidP="005846B2">
      <w:pPr>
        <w:rPr>
          <w:lang w:eastAsia="ru-RU"/>
        </w:rPr>
      </w:pPr>
    </w:p>
    <w:p w:rsidR="009D62D4" w:rsidRPr="007E0B27" w:rsidRDefault="009D62D4" w:rsidP="007E0B27">
      <w:pPr>
        <w:pStyle w:val="2"/>
        <w:ind w:firstLine="709"/>
        <w:jc w:val="right"/>
        <w:textAlignment w:val="baseline"/>
        <w:rPr>
          <w:b w:val="0"/>
          <w:sz w:val="24"/>
          <w:szCs w:val="24"/>
        </w:rPr>
      </w:pPr>
      <w:r w:rsidRPr="007E0B27">
        <w:rPr>
          <w:b w:val="0"/>
          <w:sz w:val="24"/>
          <w:szCs w:val="24"/>
        </w:rPr>
        <w:lastRenderedPageBreak/>
        <w:t>УТВЕРЖДЕНО</w:t>
      </w:r>
    </w:p>
    <w:p w:rsidR="007E0B27" w:rsidRPr="007E0B27" w:rsidRDefault="007E0B27" w:rsidP="007E0B27">
      <w:pPr>
        <w:pStyle w:val="1"/>
        <w:spacing w:before="0" w:after="0"/>
        <w:ind w:firstLine="709"/>
        <w:jc w:val="right"/>
        <w:rPr>
          <w:rStyle w:val="af0"/>
          <w:rFonts w:ascii="Times New Roman" w:hAnsi="Times New Roman"/>
          <w:b w:val="0"/>
          <w:i w:val="0"/>
          <w:sz w:val="24"/>
          <w:szCs w:val="24"/>
        </w:rPr>
      </w:pPr>
      <w:r w:rsidRPr="007E0B27">
        <w:rPr>
          <w:rStyle w:val="af0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7E0B27" w:rsidRPr="007E0B27" w:rsidRDefault="007E0B27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0B2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E0B27" w:rsidRPr="007E0B27" w:rsidRDefault="007E0B27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0B27">
        <w:rPr>
          <w:rFonts w:ascii="Times New Roman" w:hAnsi="Times New Roman"/>
          <w:sz w:val="24"/>
          <w:szCs w:val="24"/>
        </w:rPr>
        <w:t>от 20.12.2021 № 117 в</w:t>
      </w:r>
    </w:p>
    <w:p w:rsidR="007E0B27" w:rsidRPr="007E0B27" w:rsidRDefault="007E0B27" w:rsidP="007E0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94347D">
        <w:rPr>
          <w:rFonts w:ascii="Times New Roman" w:hAnsi="Times New Roman"/>
          <w:bCs/>
          <w:kern w:val="32"/>
        </w:rPr>
        <w:t>(</w:t>
      </w:r>
      <w:r w:rsidRPr="0094347D">
        <w:rPr>
          <w:rFonts w:ascii="Times New Roman" w:hAnsi="Times New Roman"/>
          <w:bCs/>
          <w:color w:val="2A11DF"/>
          <w:kern w:val="32"/>
        </w:rPr>
        <w:t>в редакции</w:t>
      </w:r>
      <w:r w:rsidRPr="0094347D">
        <w:rPr>
          <w:rFonts w:ascii="Times New Roman" w:hAnsi="Times New Roman"/>
          <w:bCs/>
          <w:kern w:val="32"/>
        </w:rPr>
        <w:t xml:space="preserve"> </w:t>
      </w:r>
      <w:r w:rsidRPr="0094347D">
        <w:rPr>
          <w:rFonts w:ascii="Times New Roman" w:hAnsi="Times New Roman"/>
          <w:bCs/>
          <w:color w:val="0000FF"/>
          <w:kern w:val="32"/>
        </w:rPr>
        <w:t>Постановления № 4</w:t>
      </w:r>
      <w:r>
        <w:rPr>
          <w:rFonts w:ascii="Times New Roman" w:hAnsi="Times New Roman"/>
          <w:bCs/>
          <w:color w:val="0000FF"/>
          <w:kern w:val="32"/>
        </w:rPr>
        <w:t>5</w:t>
      </w:r>
      <w:r w:rsidRPr="0094347D">
        <w:rPr>
          <w:rFonts w:ascii="Times New Roman" w:hAnsi="Times New Roman"/>
          <w:bCs/>
          <w:color w:val="0000FF"/>
          <w:kern w:val="32"/>
        </w:rPr>
        <w:t xml:space="preserve"> от 08.04.2022г</w:t>
      </w:r>
      <w:r w:rsidRPr="0094347D">
        <w:rPr>
          <w:rFonts w:ascii="Times New Roman" w:hAnsi="Times New Roman"/>
          <w:bCs/>
          <w:kern w:val="32"/>
        </w:rPr>
        <w:t>)</w:t>
      </w:r>
    </w:p>
    <w:p w:rsidR="007E0B27" w:rsidRPr="006E402E" w:rsidRDefault="007E0B27" w:rsidP="007E0B27">
      <w:pPr>
        <w:spacing w:after="0" w:line="240" w:lineRule="auto"/>
        <w:ind w:firstLine="709"/>
        <w:jc w:val="right"/>
        <w:rPr>
          <w:sz w:val="24"/>
          <w:szCs w:val="24"/>
        </w:rPr>
      </w:pPr>
      <w:r w:rsidRPr="006E402E">
        <w:rPr>
          <w:sz w:val="24"/>
          <w:szCs w:val="24"/>
        </w:rPr>
        <w:t xml:space="preserve"> </w:t>
      </w:r>
    </w:p>
    <w:p w:rsidR="007E0B27" w:rsidRPr="006E402E" w:rsidRDefault="007E0B27" w:rsidP="007E0B2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</w:t>
      </w:r>
      <w:r w:rsidRPr="007E0B27">
        <w:rPr>
          <w:rFonts w:ascii="Times New Roman" w:eastAsia="Calibri" w:hAnsi="Times New Roman"/>
          <w:b/>
          <w:sz w:val="26"/>
          <w:szCs w:val="26"/>
        </w:rPr>
        <w:t>на территории</w:t>
      </w:r>
      <w:r w:rsidRPr="007E0B27">
        <w:rPr>
          <w:rFonts w:ascii="Times New Roman" w:hAnsi="Times New Roman"/>
          <w:b/>
          <w:sz w:val="26"/>
          <w:szCs w:val="26"/>
        </w:rPr>
        <w:t xml:space="preserve"> Парбигского сельского поселения Бакчарского района Томской области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Парбигского сельского поселения Бакчарского района Томской области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Программа разработана и подлежит исполнению Администрацией Парбигского сельского поселения Бакчарского района Томской области (далее – Администрация).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7E0B27" w:rsidRPr="007E0B27" w:rsidRDefault="007E0B27" w:rsidP="007E0B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B27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является:</w:t>
      </w:r>
    </w:p>
    <w:p w:rsidR="007E0B27" w:rsidRPr="007E0B27" w:rsidRDefault="007E0B27" w:rsidP="007E0B27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0B27">
        <w:rPr>
          <w:sz w:val="26"/>
          <w:szCs w:val="26"/>
        </w:rPr>
        <w:t xml:space="preserve"> соблюдение гражданами и организациями (далее – контролируемые лица)обязательных требований установленных жилищным законодательством, </w:t>
      </w:r>
      <w:r w:rsidRPr="007E0B27">
        <w:rPr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1) требований к: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использованию и сохранности жилищного фонда;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жилым помещениям, их использованию и содержанию;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формированию фондов капитального ремонта;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lastRenderedPageBreak/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7E0B27">
        <w:rPr>
          <w:rFonts w:ascii="Times New Roman" w:hAnsi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7E0B27">
        <w:rPr>
          <w:rFonts w:ascii="Times New Roman" w:hAnsi="Times New Roman"/>
          <w:bCs/>
          <w:sz w:val="26"/>
          <w:szCs w:val="26"/>
        </w:rPr>
        <w:t>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3) правил: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содержания общего имущества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E0B27" w:rsidRPr="007E0B27" w:rsidRDefault="007E0B27" w:rsidP="007E0B27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E0B27" w:rsidRPr="007E0B27" w:rsidRDefault="007E0B27" w:rsidP="007E0B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B27"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проверки соблюдения действующего законодательства Российской Федерации в указанной сфере не осуществлялись.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рамках профилактики</w:t>
      </w:r>
      <w:r w:rsidRPr="007E0B27">
        <w:rPr>
          <w:rFonts w:ascii="Times New Roman" w:eastAsia="Calibri" w:hAnsi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Pr="007E0B27">
        <w:rPr>
          <w:rFonts w:ascii="Times New Roman" w:hAnsi="Times New Roman"/>
          <w:sz w:val="26"/>
          <w:szCs w:val="26"/>
        </w:rPr>
        <w:t xml:space="preserve"> администрацией в 2021 году осуществляются следующие мероприятия: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E0B27" w:rsidRPr="007E0B27" w:rsidRDefault="007E0B27" w:rsidP="007E0B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За 9 месяцев 2021 года Администрацией предостережения о недопустимости нарушения обязательных требований не выдавались.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контролируемых лиц;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       6) снижение размера ущерба, причиняемого охраняемым законом ценностям.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7E0B27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819"/>
        <w:gridCol w:w="2268"/>
        <w:gridCol w:w="2389"/>
      </w:tblGrid>
      <w:tr w:rsidR="007E0B27" w:rsidRPr="007E0B27" w:rsidTr="007E0B27">
        <w:trPr>
          <w:trHeight w:hRule="exact" w:val="9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7E0B27" w:rsidRPr="007E0B27" w:rsidRDefault="007E0B27" w:rsidP="007E0B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0B27" w:rsidRPr="007E0B27" w:rsidRDefault="007E0B27" w:rsidP="007E0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B27" w:rsidRPr="007E0B27" w:rsidRDefault="007E0B27" w:rsidP="007E0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7E0B27" w:rsidRPr="007E0B27" w:rsidTr="0006555B">
        <w:trPr>
          <w:trHeight w:hRule="exact" w:val="24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7E0B27" w:rsidRPr="007E0B27" w:rsidRDefault="007E0B27" w:rsidP="007E0B2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B27" w:rsidRPr="007E0B27" w:rsidRDefault="007E0B27" w:rsidP="007E0B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eastAsia="Calibri" w:hAnsi="Times New Roman"/>
                <w:sz w:val="26"/>
                <w:szCs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0B27" w:rsidRPr="007E0B27" w:rsidTr="0006555B">
        <w:trPr>
          <w:trHeight w:hRule="exact" w:val="39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E0B27" w:rsidRPr="007E0B27" w:rsidRDefault="007E0B27" w:rsidP="007E0B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E0B27" w:rsidRPr="007E0B27" w:rsidRDefault="007E0B27" w:rsidP="007E0B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B27" w:rsidRPr="007E0B27" w:rsidRDefault="007E0B27" w:rsidP="007E0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E0B27" w:rsidRPr="007E0B27" w:rsidRDefault="007E0B27" w:rsidP="007E0B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eastAsia="Calibri" w:hAnsi="Times New Roman"/>
                <w:sz w:val="26"/>
                <w:szCs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7E0B27" w:rsidRPr="007E0B27" w:rsidTr="0006555B">
        <w:trPr>
          <w:trHeight w:hRule="exact" w:val="39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7E0B27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7E0B27" w:rsidRPr="007E0B27" w:rsidRDefault="007E0B27" w:rsidP="007E0B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7E0B27">
              <w:rPr>
                <w:rFonts w:ascii="Times New Roman" w:eastAsia="Calibri" w:hAnsi="Times New Roman"/>
                <w:sz w:val="26"/>
                <w:szCs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0B27" w:rsidRPr="007E0B27" w:rsidTr="0006555B">
        <w:trPr>
          <w:trHeight w:hRule="exact" w:val="24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7E0B27" w:rsidRPr="007E0B27" w:rsidRDefault="007E0B27" w:rsidP="007E0B2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 - 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eastAsia="Calibri" w:hAnsi="Times New Roman"/>
                <w:sz w:val="26"/>
                <w:szCs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0B27" w:rsidRPr="007E0B27" w:rsidTr="007E0B27">
        <w:trPr>
          <w:trHeight w:hRule="exact" w:val="18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Один раз в год</w:t>
            </w:r>
          </w:p>
          <w:p w:rsidR="007E0B27" w:rsidRPr="007E0B27" w:rsidRDefault="007E0B27" w:rsidP="007E0B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E0B27" w:rsidRPr="007E0B27" w:rsidRDefault="007E0B27" w:rsidP="007E0B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E0B27" w:rsidRPr="007E0B27" w:rsidRDefault="007E0B27" w:rsidP="007E0B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7E0B27">
              <w:rPr>
                <w:rFonts w:ascii="Times New Roman" w:eastAsia="Calibri" w:hAnsi="Times New Roman"/>
                <w:sz w:val="26"/>
                <w:szCs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2105"/>
      </w:tblGrid>
      <w:tr w:rsidR="007E0B27" w:rsidRPr="007E0B27" w:rsidTr="0006555B">
        <w:trPr>
          <w:trHeight w:hRule="exact" w:val="7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7E0B27" w:rsidRPr="007E0B27" w:rsidTr="0006555B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E0B27" w:rsidRPr="007E0B27" w:rsidTr="0006555B">
        <w:trPr>
          <w:trHeight w:hRule="exact" w:val="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Исполнено / Не исполнено</w:t>
            </w:r>
          </w:p>
        </w:tc>
      </w:tr>
      <w:tr w:rsidR="007E0B27" w:rsidRPr="007E0B27" w:rsidTr="0006555B">
        <w:trPr>
          <w:trHeight w:hRule="exact" w:val="2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20% и более</w:t>
            </w:r>
          </w:p>
        </w:tc>
      </w:tr>
      <w:tr w:rsidR="007E0B27" w:rsidRPr="007E0B27" w:rsidTr="0006555B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0655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</w:rPr>
        <w:t>5. Порядок управления Программой профилактики.</w:t>
      </w:r>
    </w:p>
    <w:p w:rsidR="007E0B27" w:rsidRPr="007E0B27" w:rsidRDefault="007E0B27" w:rsidP="007E0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303F50"/>
          <w:sz w:val="26"/>
          <w:szCs w:val="26"/>
        </w:rPr>
      </w:pPr>
    </w:p>
    <w:p w:rsidR="007E0B27" w:rsidRDefault="0006555B" w:rsidP="000655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7E0B27" w:rsidRPr="007E0B27">
        <w:rPr>
          <w:rFonts w:ascii="Times New Roman" w:hAnsi="Times New Roman"/>
          <w:color w:val="000000"/>
          <w:sz w:val="26"/>
          <w:szCs w:val="26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7E0B27" w:rsidRPr="007E0B27">
        <w:rPr>
          <w:rFonts w:ascii="Times New Roman" w:hAnsi="Times New Roman"/>
          <w:sz w:val="26"/>
          <w:szCs w:val="26"/>
        </w:rPr>
        <w:t xml:space="preserve">Парбигского </w:t>
      </w:r>
      <w:r w:rsidR="007E0B27" w:rsidRPr="007E0B27">
        <w:rPr>
          <w:rFonts w:ascii="Times New Roman" w:hAnsi="Times New Roman"/>
          <w:color w:val="000000"/>
          <w:sz w:val="26"/>
          <w:szCs w:val="26"/>
        </w:rPr>
        <w:t>сельского поселения Бакчарского  района Томской  области</w:t>
      </w:r>
    </w:p>
    <w:p w:rsidR="0006555B" w:rsidRPr="007E0B27" w:rsidRDefault="0006555B" w:rsidP="007E0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03F50"/>
          <w:sz w:val="26"/>
          <w:szCs w:val="26"/>
        </w:rPr>
      </w:pPr>
    </w:p>
    <w:tbl>
      <w:tblPr>
        <w:tblW w:w="9535" w:type="dxa"/>
        <w:jc w:val="center"/>
        <w:tblInd w:w="-7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4913"/>
        <w:gridCol w:w="2180"/>
        <w:gridCol w:w="1713"/>
      </w:tblGrid>
      <w:tr w:rsidR="007E0B27" w:rsidRPr="007E0B27" w:rsidTr="00AA61C5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555B" w:rsidRPr="007E0B27" w:rsidRDefault="007E0B27" w:rsidP="0006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="0006555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color w:val="000000"/>
                <w:sz w:val="26"/>
                <w:szCs w:val="26"/>
              </w:rPr>
              <w:t>Функции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B27" w:rsidRPr="007E0B27" w:rsidRDefault="007E0B27" w:rsidP="0006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color w:val="000000"/>
                <w:sz w:val="26"/>
                <w:szCs w:val="26"/>
              </w:rPr>
              <w:t>Контакты</w:t>
            </w:r>
          </w:p>
        </w:tc>
      </w:tr>
      <w:tr w:rsidR="007E0B27" w:rsidRPr="007E0B27" w:rsidTr="00AA61C5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B27" w:rsidRPr="007E0B27" w:rsidRDefault="007E0B27" w:rsidP="0006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Главы </w:t>
            </w:r>
            <w:r w:rsidRPr="007E0B27">
              <w:rPr>
                <w:rFonts w:ascii="Times New Roman" w:hAnsi="Times New Roman"/>
                <w:sz w:val="26"/>
                <w:szCs w:val="26"/>
              </w:rPr>
              <w:t xml:space="preserve">Парбигского </w:t>
            </w:r>
            <w:r w:rsidRPr="007E0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сельского поселения (по земельным вопросам) администрации </w:t>
            </w:r>
            <w:r w:rsidRPr="007E0B27">
              <w:rPr>
                <w:rFonts w:ascii="Times New Roman" w:hAnsi="Times New Roman"/>
                <w:sz w:val="26"/>
                <w:szCs w:val="26"/>
              </w:rPr>
              <w:t xml:space="preserve">Парбигского </w:t>
            </w:r>
            <w:r w:rsidRPr="007E0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сельского поселения Бакчарского  района Томской  области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B27" w:rsidRPr="007E0B27" w:rsidRDefault="007E0B27" w:rsidP="0006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B27" w:rsidRPr="007E0B27" w:rsidRDefault="007E0B27" w:rsidP="0006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(38249) </w:t>
            </w:r>
            <w:r w:rsidR="0006555B">
              <w:rPr>
                <w:rFonts w:ascii="Times New Roman" w:hAnsi="Times New Roman"/>
                <w:color w:val="000000"/>
                <w:sz w:val="26"/>
                <w:szCs w:val="26"/>
              </w:rPr>
              <w:t>44-389</w:t>
            </w:r>
          </w:p>
        </w:tc>
      </w:tr>
    </w:tbl>
    <w:p w:rsidR="007E0B27" w:rsidRPr="007E0B27" w:rsidRDefault="007E0B27" w:rsidP="007E0B27">
      <w:pPr>
        <w:pStyle w:val="af5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</w:p>
    <w:p w:rsidR="00A40EDD" w:rsidRPr="00A40EDD" w:rsidRDefault="00A40EDD" w:rsidP="007E0B27">
      <w:pPr>
        <w:pStyle w:val="2"/>
        <w:jc w:val="right"/>
        <w:textAlignment w:val="baseline"/>
      </w:pPr>
    </w:p>
    <w:sectPr w:rsidR="00A40EDD" w:rsidRPr="00A40EDD" w:rsidSect="00A40EDD">
      <w:pgSz w:w="11906" w:h="16838"/>
      <w:pgMar w:top="142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FBC" w:rsidRDefault="00A16FBC" w:rsidP="00BF0F98">
      <w:pPr>
        <w:spacing w:after="0" w:line="240" w:lineRule="auto"/>
      </w:pPr>
      <w:r>
        <w:separator/>
      </w:r>
    </w:p>
  </w:endnote>
  <w:endnote w:type="continuationSeparator" w:id="1">
    <w:p w:rsidR="00A16FBC" w:rsidRDefault="00A16FBC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FBC" w:rsidRDefault="00A16FBC" w:rsidP="00BF0F98">
      <w:pPr>
        <w:spacing w:after="0" w:line="240" w:lineRule="auto"/>
      </w:pPr>
      <w:r>
        <w:separator/>
      </w:r>
    </w:p>
  </w:footnote>
  <w:footnote w:type="continuationSeparator" w:id="1">
    <w:p w:rsidR="00A16FBC" w:rsidRDefault="00A16FBC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6555B"/>
    <w:rsid w:val="000936F2"/>
    <w:rsid w:val="0009659B"/>
    <w:rsid w:val="00097906"/>
    <w:rsid w:val="000E7798"/>
    <w:rsid w:val="00107EF0"/>
    <w:rsid w:val="00111243"/>
    <w:rsid w:val="00117CEB"/>
    <w:rsid w:val="00141536"/>
    <w:rsid w:val="0016334E"/>
    <w:rsid w:val="00184361"/>
    <w:rsid w:val="001A1EA7"/>
    <w:rsid w:val="001D1C41"/>
    <w:rsid w:val="001E277C"/>
    <w:rsid w:val="001F4EF2"/>
    <w:rsid w:val="0020286B"/>
    <w:rsid w:val="0020770D"/>
    <w:rsid w:val="00212EE7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95388"/>
    <w:rsid w:val="004C17D0"/>
    <w:rsid w:val="004C19EB"/>
    <w:rsid w:val="004E0E4F"/>
    <w:rsid w:val="004E20DD"/>
    <w:rsid w:val="004F7E08"/>
    <w:rsid w:val="005273E2"/>
    <w:rsid w:val="00527B42"/>
    <w:rsid w:val="0055314F"/>
    <w:rsid w:val="005846B2"/>
    <w:rsid w:val="00595346"/>
    <w:rsid w:val="005966C3"/>
    <w:rsid w:val="005A14C6"/>
    <w:rsid w:val="005A3CB8"/>
    <w:rsid w:val="005A77C2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27A1"/>
    <w:rsid w:val="007B2F2B"/>
    <w:rsid w:val="007B3404"/>
    <w:rsid w:val="007C041F"/>
    <w:rsid w:val="007E0B27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313C1"/>
    <w:rsid w:val="00955890"/>
    <w:rsid w:val="009A6487"/>
    <w:rsid w:val="009B1D08"/>
    <w:rsid w:val="009B3FF7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16FBC"/>
    <w:rsid w:val="00A21104"/>
    <w:rsid w:val="00A40EDD"/>
    <w:rsid w:val="00A47E2C"/>
    <w:rsid w:val="00A56B99"/>
    <w:rsid w:val="00A67775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D3F52"/>
    <w:rsid w:val="00DD4F2B"/>
    <w:rsid w:val="00DE4F84"/>
    <w:rsid w:val="00DF17A2"/>
    <w:rsid w:val="00E0129B"/>
    <w:rsid w:val="00E05A47"/>
    <w:rsid w:val="00E47BAC"/>
    <w:rsid w:val="00E51C0C"/>
    <w:rsid w:val="00E5222A"/>
    <w:rsid w:val="00E641BA"/>
    <w:rsid w:val="00E73F68"/>
    <w:rsid w:val="00E916E4"/>
    <w:rsid w:val="00EB2B9F"/>
    <w:rsid w:val="00EC05C6"/>
    <w:rsid w:val="00EF0A5E"/>
    <w:rsid w:val="00F07F47"/>
    <w:rsid w:val="00F13686"/>
    <w:rsid w:val="00F4008D"/>
    <w:rsid w:val="00F42188"/>
    <w:rsid w:val="00F4306B"/>
    <w:rsid w:val="00F45993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link w:val="ab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d"/>
    <w:uiPriority w:val="99"/>
    <w:locked/>
    <w:rsid w:val="00D6419C"/>
    <w:rPr>
      <w:b/>
      <w:caps/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0">
    <w:name w:val="Emphasis"/>
    <w:basedOn w:val="a0"/>
    <w:qFormat/>
    <w:locked/>
    <w:rsid w:val="00786129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3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5">
    <w:name w:val="Normal (Web)"/>
    <w:basedOn w:val="a"/>
    <w:uiPriority w:val="99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0B27"/>
    <w:rPr>
      <w:rFonts w:ascii="Courier New" w:hAnsi="Courier New"/>
      <w:sz w:val="20"/>
      <w:szCs w:val="20"/>
    </w:rPr>
  </w:style>
  <w:style w:type="character" w:customStyle="1" w:styleId="ab">
    <w:name w:val="Абзац списка Знак"/>
    <w:link w:val="aa"/>
    <w:locked/>
    <w:rsid w:val="007E0B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DE16-FA93-49D0-90DD-7A27735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4</cp:revision>
  <cp:lastPrinted>2021-07-15T07:37:00Z</cp:lastPrinted>
  <dcterms:created xsi:type="dcterms:W3CDTF">2021-12-21T07:47:00Z</dcterms:created>
  <dcterms:modified xsi:type="dcterms:W3CDTF">2022-05-11T07:31:00Z</dcterms:modified>
</cp:coreProperties>
</file>