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41" w:rsidRDefault="00357141"/>
    <w:p w:rsidR="00357141" w:rsidRDefault="00357141" w:rsidP="00357141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357141" w:rsidRDefault="00357141" w:rsidP="00357141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357141" w:rsidRDefault="00357141" w:rsidP="00357141">
      <w:pPr>
        <w:jc w:val="center"/>
        <w:rPr>
          <w:b/>
          <w:sz w:val="28"/>
          <w:szCs w:val="28"/>
        </w:rPr>
      </w:pPr>
    </w:p>
    <w:p w:rsidR="00357141" w:rsidRPr="00DD155C" w:rsidRDefault="00357141" w:rsidP="00357141">
      <w:pPr>
        <w:jc w:val="center"/>
        <w:rPr>
          <w:b/>
          <w:sz w:val="28"/>
          <w:szCs w:val="28"/>
        </w:rPr>
      </w:pPr>
      <w:r w:rsidRPr="00DD155C">
        <w:rPr>
          <w:b/>
          <w:sz w:val="28"/>
          <w:szCs w:val="28"/>
        </w:rPr>
        <w:t>ПОСТАНОВЛЕНИЕ</w:t>
      </w:r>
    </w:p>
    <w:p w:rsidR="00357141" w:rsidRDefault="00357141" w:rsidP="00357141"/>
    <w:p w:rsidR="00357141" w:rsidRDefault="00357141">
      <w:r>
        <w:rPr>
          <w:sz w:val="26"/>
          <w:szCs w:val="26"/>
        </w:rPr>
        <w:t xml:space="preserve">      </w:t>
      </w:r>
      <w:r w:rsidRPr="00A450FD">
        <w:rPr>
          <w:sz w:val="26"/>
          <w:szCs w:val="26"/>
        </w:rPr>
        <w:t xml:space="preserve"> </w:t>
      </w:r>
      <w:r w:rsidRPr="00362451">
        <w:rPr>
          <w:sz w:val="26"/>
          <w:szCs w:val="26"/>
        </w:rPr>
        <w:t xml:space="preserve">от </w:t>
      </w:r>
      <w:r w:rsidR="00D1524C">
        <w:rPr>
          <w:sz w:val="26"/>
          <w:szCs w:val="26"/>
        </w:rPr>
        <w:t>19.12</w:t>
      </w:r>
      <w:r w:rsidRPr="00362451">
        <w:rPr>
          <w:sz w:val="26"/>
          <w:szCs w:val="26"/>
        </w:rPr>
        <w:t xml:space="preserve">.2023 г.                                       с. Парбиг                                             №   </w:t>
      </w:r>
      <w:r w:rsidR="00D1524C">
        <w:rPr>
          <w:sz w:val="26"/>
          <w:szCs w:val="26"/>
        </w:rPr>
        <w:t>132</w:t>
      </w:r>
    </w:p>
    <w:p w:rsidR="00357141" w:rsidRDefault="00357141"/>
    <w:tbl>
      <w:tblPr>
        <w:tblW w:w="10560" w:type="dxa"/>
        <w:jc w:val="right"/>
        <w:tblLayout w:type="fixed"/>
        <w:tblLook w:val="04A0"/>
      </w:tblPr>
      <w:tblGrid>
        <w:gridCol w:w="3936"/>
        <w:gridCol w:w="1698"/>
        <w:gridCol w:w="1703"/>
        <w:gridCol w:w="3223"/>
      </w:tblGrid>
      <w:tr w:rsidR="005748DA" w:rsidTr="005748DA">
        <w:trPr>
          <w:trHeight w:val="548"/>
          <w:jc w:val="right"/>
        </w:trPr>
        <w:tc>
          <w:tcPr>
            <w:tcW w:w="5634" w:type="dxa"/>
            <w:gridSpan w:val="2"/>
            <w:vAlign w:val="center"/>
          </w:tcPr>
          <w:p w:rsidR="005748DA" w:rsidRDefault="005748DA" w:rsidP="003571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748DA" w:rsidRDefault="005748DA" w:rsidP="00357141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карты рисков </w:t>
            </w:r>
            <w:r>
              <w:rPr>
                <w:sz w:val="28"/>
                <w:szCs w:val="28"/>
              </w:rPr>
              <w:t>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      </w:r>
            <w:r w:rsidR="00D152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ключевых показателей оценки эффективности функционирования антимонопольного комплаенса в Администрации </w:t>
            </w:r>
            <w:r w:rsidR="00357141">
              <w:rPr>
                <w:sz w:val="28"/>
                <w:szCs w:val="28"/>
              </w:rPr>
              <w:t>Парбигского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26" w:type="dxa"/>
            <w:gridSpan w:val="2"/>
          </w:tcPr>
          <w:p w:rsidR="005748DA" w:rsidRDefault="005748DA">
            <w:pPr>
              <w:rPr>
                <w:sz w:val="28"/>
                <w:szCs w:val="28"/>
              </w:rPr>
            </w:pPr>
          </w:p>
        </w:tc>
      </w:tr>
      <w:tr w:rsidR="005748DA" w:rsidTr="005748DA">
        <w:trPr>
          <w:trHeight w:val="5054"/>
          <w:jc w:val="right"/>
        </w:trPr>
        <w:tc>
          <w:tcPr>
            <w:tcW w:w="10560" w:type="dxa"/>
            <w:gridSpan w:val="4"/>
          </w:tcPr>
          <w:p w:rsidR="005748DA" w:rsidRDefault="005748D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 исполнение </w:t>
            </w:r>
            <w:hyperlink r:id="rId7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Указа</w:t>
              </w:r>
            </w:hyperlink>
            <w:r>
              <w:rPr>
                <w:sz w:val="28"/>
                <w:szCs w:val="28"/>
                <w:lang w:eastAsia="en-US"/>
              </w:rPr>
              <w:t xml:space="preserve"> Президента Российской Федерации от 21.12.2017 № 618 «Об основных направлениях государственной политики по развитию конкуренции», </w:t>
            </w:r>
            <w:hyperlink r:id="rId8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распоряжения</w:t>
              </w:r>
            </w:hyperlink>
            <w:r>
              <w:rPr>
                <w:sz w:val="28"/>
                <w:szCs w:val="28"/>
                <w:lang w:eastAsia="en-US"/>
              </w:rPr>
      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      </w:r>
          </w:p>
          <w:p w:rsidR="005748DA" w:rsidRDefault="005748DA">
            <w:pPr>
              <w:tabs>
                <w:tab w:val="left" w:pos="1001"/>
              </w:tabs>
              <w:ind w:firstLine="707"/>
              <w:rPr>
                <w:sz w:val="28"/>
                <w:szCs w:val="28"/>
              </w:rPr>
            </w:pPr>
          </w:p>
          <w:p w:rsidR="005748DA" w:rsidRDefault="005748DA">
            <w:pPr>
              <w:tabs>
                <w:tab w:val="left" w:pos="10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5748DA" w:rsidRDefault="005748DA">
            <w:pPr>
              <w:tabs>
                <w:tab w:val="left" w:pos="1001"/>
              </w:tabs>
              <w:ind w:firstLine="707"/>
              <w:rPr>
                <w:sz w:val="28"/>
                <w:szCs w:val="28"/>
              </w:rPr>
            </w:pP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карту рисков нарушения антимонопольного законодательства Администрации </w:t>
            </w:r>
            <w:r w:rsidR="00357141">
              <w:rPr>
                <w:sz w:val="28"/>
                <w:szCs w:val="28"/>
              </w:rPr>
              <w:t>Парбигского</w:t>
            </w:r>
            <w:r>
              <w:rPr>
                <w:sz w:val="28"/>
                <w:szCs w:val="28"/>
              </w:rPr>
              <w:t xml:space="preserve"> сельского </w:t>
            </w:r>
            <w:r w:rsidR="00357141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на 202</w:t>
            </w:r>
            <w:r w:rsidR="00D152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согласно приложению № 1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план мероприятий («дорожная карта») по снижению рисков нарушения антимонопольного законодательства на 202</w:t>
            </w:r>
            <w:r w:rsidR="00D152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год согласно приложению № 2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Утвердить ключевые показатели оценки эффективности функционирования антимонопольного комплаенса в Администрации </w:t>
            </w:r>
            <w:r w:rsidR="00357141">
              <w:rPr>
                <w:sz w:val="28"/>
                <w:szCs w:val="28"/>
              </w:rPr>
              <w:t xml:space="preserve">Парбигского </w:t>
            </w:r>
            <w:r>
              <w:rPr>
                <w:sz w:val="28"/>
                <w:szCs w:val="28"/>
              </w:rPr>
              <w:t>сельского поселения  согласно приложению № 3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Обеспечить размещение настоящего постановления на официальном сайте муниципального образования «</w:t>
            </w:r>
            <w:r w:rsidR="00357141">
              <w:rPr>
                <w:sz w:val="28"/>
                <w:szCs w:val="28"/>
              </w:rPr>
              <w:t xml:space="preserve">Парбигское </w:t>
            </w:r>
            <w:r>
              <w:rPr>
                <w:sz w:val="28"/>
                <w:szCs w:val="28"/>
              </w:rPr>
              <w:t>сельское поселение».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Настоящее постановление вступает в силу со дня его подписания. 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Контроль за исполнением настоящего постановления оставляю за собой.</w:t>
            </w:r>
          </w:p>
          <w:p w:rsidR="005748DA" w:rsidRDefault="005748DA">
            <w:pPr>
              <w:ind w:left="1440"/>
              <w:rPr>
                <w:sz w:val="28"/>
                <w:szCs w:val="28"/>
              </w:rPr>
            </w:pPr>
          </w:p>
        </w:tc>
      </w:tr>
      <w:tr w:rsidR="005748DA" w:rsidTr="005748DA">
        <w:trPr>
          <w:trHeight w:val="80"/>
          <w:jc w:val="right"/>
        </w:trPr>
        <w:tc>
          <w:tcPr>
            <w:tcW w:w="3936" w:type="dxa"/>
            <w:hideMark/>
          </w:tcPr>
          <w:p w:rsidR="005748DA" w:rsidRDefault="00D1524C" w:rsidP="00357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748DA">
              <w:rPr>
                <w:sz w:val="28"/>
                <w:szCs w:val="28"/>
              </w:rPr>
              <w:t xml:space="preserve"> </w:t>
            </w:r>
            <w:r w:rsidR="00357141">
              <w:rPr>
                <w:sz w:val="28"/>
                <w:szCs w:val="28"/>
              </w:rPr>
              <w:t>Парбигского</w:t>
            </w:r>
            <w:r w:rsidR="005748DA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DA" w:rsidRDefault="005748DA">
            <w:pPr>
              <w:jc w:val="center"/>
            </w:pPr>
          </w:p>
        </w:tc>
        <w:tc>
          <w:tcPr>
            <w:tcW w:w="3223" w:type="dxa"/>
            <w:hideMark/>
          </w:tcPr>
          <w:p w:rsidR="005748DA" w:rsidRDefault="005748DA">
            <w:pPr>
              <w:jc w:val="center"/>
              <w:rPr>
                <w:sz w:val="28"/>
                <w:szCs w:val="28"/>
              </w:rPr>
            </w:pPr>
          </w:p>
          <w:p w:rsidR="00445BF8" w:rsidRDefault="0036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Н.Б.Кедровская</w:t>
            </w:r>
          </w:p>
        </w:tc>
      </w:tr>
      <w:tr w:rsidR="005748DA" w:rsidTr="005748DA">
        <w:trPr>
          <w:trHeight w:val="70"/>
          <w:jc w:val="right"/>
        </w:trPr>
        <w:tc>
          <w:tcPr>
            <w:tcW w:w="10560" w:type="dxa"/>
            <w:gridSpan w:val="4"/>
          </w:tcPr>
          <w:p w:rsidR="005748DA" w:rsidRDefault="005748DA"/>
        </w:tc>
      </w:tr>
    </w:tbl>
    <w:p w:rsidR="00007716" w:rsidRDefault="00007716">
      <w:pPr>
        <w:sectPr w:rsidR="00007716" w:rsidSect="00EE2A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716" w:rsidRPr="00026FAD" w:rsidRDefault="00007716" w:rsidP="00007716">
      <w:pPr>
        <w:pStyle w:val="ConsPlusTitle"/>
        <w:ind w:left="5670"/>
        <w:jc w:val="right"/>
        <w:rPr>
          <w:b w:val="0"/>
          <w:sz w:val="20"/>
        </w:rPr>
      </w:pPr>
      <w:r w:rsidRPr="00026FAD">
        <w:rPr>
          <w:b w:val="0"/>
          <w:sz w:val="20"/>
        </w:rPr>
        <w:lastRenderedPageBreak/>
        <w:t>Приложение № 1</w:t>
      </w:r>
    </w:p>
    <w:p w:rsidR="00007716" w:rsidRDefault="00007716" w:rsidP="00007716">
      <w:pPr>
        <w:pStyle w:val="ConsPlusTitle"/>
        <w:ind w:left="5670"/>
        <w:jc w:val="right"/>
      </w:pPr>
      <w:r w:rsidRPr="00026FAD">
        <w:rPr>
          <w:b w:val="0"/>
          <w:sz w:val="20"/>
        </w:rPr>
        <w:t xml:space="preserve">к Постановлению </w:t>
      </w:r>
      <w:r w:rsidR="00D1524C">
        <w:rPr>
          <w:b w:val="0"/>
          <w:sz w:val="20"/>
        </w:rPr>
        <w:t>от 19.12</w:t>
      </w:r>
      <w:r>
        <w:rPr>
          <w:b w:val="0"/>
          <w:sz w:val="20"/>
        </w:rPr>
        <w:t xml:space="preserve">.2023 г. № </w:t>
      </w:r>
      <w:r w:rsidR="00D1524C">
        <w:rPr>
          <w:b w:val="0"/>
          <w:sz w:val="20"/>
        </w:rPr>
        <w:t>132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Карта рисков нарушения антимонопольного законодательства</w:t>
      </w:r>
    </w:p>
    <w:p w:rsidR="00007716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 xml:space="preserve">Администрации </w:t>
      </w:r>
      <w:r w:rsidR="00362451">
        <w:rPr>
          <w:b/>
        </w:rPr>
        <w:t>Парбигского</w:t>
      </w:r>
      <w:r>
        <w:rPr>
          <w:b/>
        </w:rPr>
        <w:t xml:space="preserve"> сельского поселения </w:t>
      </w:r>
      <w:r w:rsidR="00D1524C">
        <w:rPr>
          <w:b/>
        </w:rPr>
        <w:t>на 2024</w:t>
      </w:r>
      <w:r w:rsidRPr="004E5501">
        <w:rPr>
          <w:b/>
        </w:rPr>
        <w:t xml:space="preserve"> год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567"/>
        <w:gridCol w:w="1134"/>
        <w:gridCol w:w="3544"/>
        <w:gridCol w:w="5670"/>
        <w:gridCol w:w="3969"/>
      </w:tblGrid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Уровень риска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Вид риска (описание)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Причины и условия возникновения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jc w:val="center"/>
              <w:rPr>
                <w:b/>
              </w:rPr>
            </w:pPr>
            <w:r w:rsidRPr="00DC566D">
              <w:rPr>
                <w:b/>
              </w:rPr>
              <w:t>Норма антимонопольного законодательства, которая может быть нарушена в соответствие с Федеральным законом от 26 июля 2006 г. № 135-ФЗ «О защите конкуренции» (далее - закон 135-ФЗ)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jc w:val="center"/>
            </w:pPr>
            <w:r>
              <w:t>1. Нарушения антимонопольного законодательства при проведении закупок товаров, работ, услуг для муниципальных нужд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 xml:space="preserve">Нарушение административной процедуры при принятии решения о способе осуществления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недостаточные сроки для проведения конкурсных процедур.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15 закона № 135-ФЗ (в результате неправомерного заключения контракта с единственным поставщиком)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 xml:space="preserve">Создание дискриминационных или преимущественных условий для отдельных категорий хозяйствующих субъектов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отсутствие надлежащего контроля документации;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неопределенность норм действующего законодательства.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 xml:space="preserve">- включение в описание объекта закупки требований, влекущих за собой ограничение количества участников закупки; 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17 закона № 135-ФЗ (создание участникам торгов преимущественных условий, незаконного ограничения доступа к участию в торгах, включение в состав лотов товаров, работ, услуг технологически и функционально не связанных с предметом торгов)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Нарушения при разработке проектов </w:t>
            </w:r>
            <w:r w:rsidRPr="00D44113">
              <w:rPr>
                <w:sz w:val="24"/>
                <w:szCs w:val="24"/>
              </w:rPr>
              <w:t xml:space="preserve">нормативных правовых актов  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DC566D"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координация процесса разработки проекта нормативного правового акта и его принятия со стороны руководителя сотрудника, являющегося разработчиком проекта;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несвоевременное отслеживание изменений законодательства;</w:t>
            </w:r>
          </w:p>
          <w:p w:rsidR="00007716" w:rsidRDefault="00007716" w:rsidP="00EF0706">
            <w:pPr>
              <w:tabs>
                <w:tab w:val="left" w:pos="200"/>
                <w:tab w:val="left" w:pos="689"/>
              </w:tabs>
              <w:autoSpaceDE w:val="0"/>
              <w:autoSpaceDN w:val="0"/>
              <w:adjustRightInd w:val="0"/>
            </w:pPr>
            <w:r>
              <w:t>- непроведение оценки регулирующего воздействия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554A95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554A95">
              <w:rPr>
                <w:sz w:val="24"/>
                <w:szCs w:val="24"/>
              </w:rPr>
              <w:t>Нарушение статьи 15 закона 135-ФЗ (введение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362451">
            <w:pPr>
              <w:jc w:val="center"/>
            </w:pPr>
            <w:r>
              <w:t xml:space="preserve">3. Нарушения при предоставлении в пользование имущества и земельных участков, составляющих муниципальную казну муниципального образования </w:t>
            </w:r>
            <w:r w:rsidRPr="00463893">
              <w:t>«</w:t>
            </w:r>
            <w:r w:rsidR="00362451">
              <w:t>Парбигское</w:t>
            </w:r>
            <w:r w:rsidRPr="00463893">
              <w:t xml:space="preserve"> сельское поселение»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Средний</w:t>
            </w:r>
          </w:p>
          <w:p w:rsidR="00007716" w:rsidRPr="000541E7" w:rsidRDefault="00007716" w:rsidP="00EF0706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DC566D">
              <w:t xml:space="preserve">Нарушение при владении, пользовании и распоряжении муниципальным имуществом и земельными участками, </w:t>
            </w:r>
            <w:r w:rsidRPr="008D150F">
              <w:t>составляющ</w:t>
            </w:r>
            <w:r>
              <w:t>ими</w:t>
            </w:r>
            <w:r w:rsidRPr="008D150F">
              <w:t xml:space="preserve"> муниципальную казну муниципального образования «Бакчарский район»</w:t>
            </w:r>
            <w:r>
              <w:t xml:space="preserve">, </w:t>
            </w:r>
            <w:r w:rsidRPr="00DC566D">
              <w:t>повлекшее за собой нарушение антимонопольного законодательства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r>
              <w:t xml:space="preserve">- ненадлежащее проведение процедуры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15 закона 135-ФЗ (создание преференций отдельному хозяйствующему субъекту) и статьи 16 закона 135-ФЗ (заключение антиконкурентного соглашения</w:t>
            </w:r>
            <w:r>
              <w:t>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jc w:val="center"/>
            </w:pPr>
            <w:r>
              <w:t>4. Нарушение при оказании финансовой поддержки субъектам малого и среднего предпринимательства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Низкий</w:t>
            </w:r>
          </w:p>
          <w:p w:rsidR="00007716" w:rsidRDefault="00007716" w:rsidP="00EF070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8D150F"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r>
              <w:t>- ненадлежащее проведение процедуры (халатность, невнимательность, ненадлежащая проверка данных)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</w:t>
            </w:r>
            <w:r w:rsidRPr="00DC566D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и 15 закона 135-ФЗ</w:t>
            </w:r>
            <w:r w:rsidRPr="00DC566D">
              <w:rPr>
                <w:sz w:val="24"/>
                <w:szCs w:val="24"/>
              </w:rPr>
              <w:t xml:space="preserve"> (создание дискриминационных или преимущественных условий для отдельных категорий хозяйствующих субъектов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007716" w:rsidRPr="00026FAD" w:rsidRDefault="00007716" w:rsidP="00007716">
      <w:pPr>
        <w:pStyle w:val="ConsPlusTitle"/>
        <w:ind w:left="5670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br w:type="page"/>
      </w:r>
      <w:r w:rsidRPr="00026FAD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2</w:t>
      </w:r>
    </w:p>
    <w:p w:rsidR="00007716" w:rsidRPr="00FF4D20" w:rsidRDefault="00007716" w:rsidP="00007716">
      <w:pPr>
        <w:pStyle w:val="ConsPlusTitle"/>
        <w:ind w:left="5670"/>
        <w:jc w:val="right"/>
      </w:pPr>
      <w:r w:rsidRPr="00026FAD">
        <w:rPr>
          <w:b w:val="0"/>
          <w:sz w:val="20"/>
        </w:rPr>
        <w:t xml:space="preserve">к Постановлению </w:t>
      </w:r>
      <w:r w:rsidR="00D1524C">
        <w:rPr>
          <w:b w:val="0"/>
          <w:sz w:val="20"/>
        </w:rPr>
        <w:t>от 19.12</w:t>
      </w:r>
      <w:r>
        <w:rPr>
          <w:b w:val="0"/>
          <w:sz w:val="20"/>
        </w:rPr>
        <w:t xml:space="preserve">.2023 г. № </w:t>
      </w:r>
      <w:r w:rsidR="00D1524C">
        <w:rPr>
          <w:b w:val="0"/>
          <w:sz w:val="20"/>
        </w:rPr>
        <w:t>132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План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мероприятий («дорожная карта») по снижению рисков</w:t>
      </w:r>
    </w:p>
    <w:p w:rsidR="00007716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 xml:space="preserve">нарушения антимонопольного законодательства </w:t>
      </w:r>
      <w:r w:rsidR="00D1524C">
        <w:rPr>
          <w:b/>
        </w:rPr>
        <w:t>на 2024</w:t>
      </w:r>
      <w:r w:rsidRPr="004E5501">
        <w:rPr>
          <w:b/>
        </w:rPr>
        <w:t xml:space="preserve"> год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629"/>
        <w:gridCol w:w="3057"/>
        <w:gridCol w:w="4110"/>
        <w:gridCol w:w="3402"/>
        <w:gridCol w:w="1905"/>
        <w:gridCol w:w="1781"/>
      </w:tblGrid>
      <w:tr w:rsidR="00007716" w:rsidRPr="008C0410" w:rsidTr="00EF0706">
        <w:trPr>
          <w:trHeight w:val="3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N пп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Вид риска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Ожидаемый результат (документ, мероприятие, показатель)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Срок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410">
              <w:rPr>
                <w:b/>
              </w:rPr>
              <w:t>Ответственные исполнители</w:t>
            </w:r>
          </w:p>
        </w:tc>
      </w:tr>
      <w:tr w:rsidR="00007716" w:rsidRPr="008D150F" w:rsidTr="00EF0706">
        <w:trPr>
          <w:trHeight w:val="516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Нарушение административной процедуры при принятии решения о способе осуществления закупок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100% сотрудников</w:t>
            </w:r>
            <w:r>
              <w:t>, ответственных за осуществление закупок,</w:t>
            </w:r>
            <w:r w:rsidRPr="008D150F">
              <w:t xml:space="preserve">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постоянно</w:t>
            </w:r>
            <w:r>
              <w:t xml:space="preserve">, </w:t>
            </w:r>
            <w:r w:rsidRPr="002952E3">
              <w:t>но не реже</w:t>
            </w:r>
            <w:r>
              <w:t xml:space="preserve"> 1 раза в 3</w:t>
            </w:r>
            <w:r w:rsidRPr="002952E3">
              <w:t xml:space="preserve"> года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362451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362451">
              <w:t>Парбигского</w:t>
            </w:r>
            <w:r>
              <w:t xml:space="preserve"> сельского поселения</w:t>
            </w: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</w:t>
            </w:r>
            <w:r>
              <w:t>.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8D150F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19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Создание дискриминационных или преимущественных условий для отдельных категорий хозяйствующих субъектов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100% сотрудников</w:t>
            </w:r>
            <w:r>
              <w:t>, ответственных за осуществление закупок,</w:t>
            </w:r>
            <w:r w:rsidRPr="008D150F">
              <w:t xml:space="preserve">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r>
              <w:t xml:space="preserve">Администрация </w:t>
            </w:r>
            <w:r w:rsidR="00362451">
              <w:t xml:space="preserve">Парбигского </w:t>
            </w:r>
            <w:r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</w:t>
            </w:r>
            <w:r>
              <w:t>.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Pr="008D150F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lastRenderedPageBreak/>
              <w:t>постоянно</w:t>
            </w:r>
          </w:p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6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lastRenderedPageBreak/>
              <w:t xml:space="preserve">3.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анализ действующих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Сокращение вероятности наступления комплаенс-риска.</w:t>
            </w:r>
          </w:p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постоянно, но не реже 1 раз в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C0410">
              <w:t xml:space="preserve">Администрация </w:t>
            </w:r>
            <w:r w:rsidR="00362451">
              <w:t xml:space="preserve">Парбигского </w:t>
            </w:r>
            <w:r w:rsidRPr="008C0410"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61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 мере разработки проектов нормативных правовых актов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9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C53C18">
              <w:rPr>
                <w:rFonts w:eastAsia="Calibri"/>
                <w:spacing w:val="-4"/>
              </w:rPr>
              <w:t>обучение, консультирование работников основам и требованиям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4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4</w:t>
            </w:r>
            <w:r w:rsidRPr="008D150F">
              <w:t>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DC566D">
              <w:t xml:space="preserve">Нарушение при владении, пользовании и распоряжении муниципальным имуществом и земельными участками, </w:t>
            </w:r>
            <w:r w:rsidRPr="008D150F">
              <w:t>составляющ</w:t>
            </w:r>
            <w:r>
              <w:t>ими</w:t>
            </w:r>
            <w:r w:rsidRPr="008D150F">
              <w:t xml:space="preserve"> муниципальную казну муниципального образования </w:t>
            </w:r>
            <w:r w:rsidRPr="008C0410">
              <w:t>«</w:t>
            </w:r>
            <w:r w:rsidR="00362451">
              <w:t xml:space="preserve">Парбигское </w:t>
            </w:r>
            <w:r w:rsidRPr="008C0410">
              <w:t>сельское поселение»,</w:t>
            </w:r>
            <w:r>
              <w:t xml:space="preserve"> </w:t>
            </w:r>
            <w:r w:rsidRPr="00DC566D">
              <w:t>повлекшее за собой нарушение антимонопольного законодательства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Отдел по вопросам жизнеобеспечения и имущественных отношений</w:t>
            </w:r>
            <w:r w:rsidRPr="008D150F">
              <w:t xml:space="preserve"> Администрации Бакчарского района</w:t>
            </w:r>
            <w:r>
              <w:t xml:space="preserve"> и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362451">
              <w:t xml:space="preserve">Парбигского </w:t>
            </w:r>
            <w:r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мониторинг и анализ практики применения антимонопольного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Pr="008D150F">
              <w:t>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362451">
              <w:t xml:space="preserve">Парбигского </w:t>
            </w:r>
            <w:r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</w:tbl>
    <w:p w:rsidR="00007716" w:rsidRDefault="00007716" w:rsidP="00007716">
      <w:pPr>
        <w:pStyle w:val="ConsPlusTitle"/>
        <w:spacing w:line="276" w:lineRule="auto"/>
        <w:rPr>
          <w:b w:val="0"/>
          <w:sz w:val="24"/>
          <w:szCs w:val="24"/>
        </w:rPr>
        <w:sectPr w:rsidR="00007716" w:rsidSect="0060332C">
          <w:pgSz w:w="16838" w:h="11906" w:orient="landscape"/>
          <w:pgMar w:top="1701" w:right="820" w:bottom="851" w:left="425" w:header="709" w:footer="709" w:gutter="0"/>
          <w:cols w:space="708"/>
          <w:docGrid w:linePitch="360"/>
        </w:sectPr>
      </w:pPr>
    </w:p>
    <w:p w:rsidR="00007716" w:rsidRPr="00026FAD" w:rsidRDefault="00007716" w:rsidP="00007716">
      <w:pPr>
        <w:pStyle w:val="ConsPlusTitle"/>
        <w:ind w:left="2694"/>
        <w:jc w:val="right"/>
        <w:rPr>
          <w:b w:val="0"/>
          <w:sz w:val="20"/>
        </w:rPr>
      </w:pPr>
      <w:r w:rsidRPr="00026FAD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3</w:t>
      </w:r>
    </w:p>
    <w:p w:rsidR="00007716" w:rsidRPr="00026FAD" w:rsidRDefault="00007716" w:rsidP="00007716">
      <w:pPr>
        <w:pStyle w:val="ConsPlusTitle"/>
        <w:ind w:left="2694"/>
        <w:jc w:val="right"/>
        <w:rPr>
          <w:b w:val="0"/>
          <w:sz w:val="20"/>
        </w:rPr>
      </w:pPr>
      <w:r w:rsidRPr="00026FAD">
        <w:rPr>
          <w:b w:val="0"/>
          <w:sz w:val="20"/>
        </w:rPr>
        <w:t xml:space="preserve">к Постановлению </w:t>
      </w:r>
      <w:r w:rsidR="00D1524C">
        <w:rPr>
          <w:b w:val="0"/>
          <w:sz w:val="20"/>
        </w:rPr>
        <w:t>от 19.12.2023 г. № 132</w:t>
      </w:r>
    </w:p>
    <w:p w:rsidR="00007716" w:rsidRPr="00BC1233" w:rsidRDefault="00007716" w:rsidP="00007716">
      <w:pPr>
        <w:pStyle w:val="ConsPlusTitle"/>
        <w:ind w:left="3261"/>
        <w:jc w:val="right"/>
        <w:rPr>
          <w:b w:val="0"/>
          <w:sz w:val="18"/>
          <w:szCs w:val="18"/>
        </w:rPr>
      </w:pPr>
    </w:p>
    <w:p w:rsidR="00007716" w:rsidRPr="004E5501" w:rsidRDefault="00007716" w:rsidP="00007716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>Ключевые показатели оценки эффективности функционирования</w:t>
      </w:r>
    </w:p>
    <w:p w:rsidR="00007716" w:rsidRDefault="00007716" w:rsidP="00007716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 xml:space="preserve">антимонопольного комплаенса в Администрации </w:t>
      </w:r>
      <w:r w:rsidR="00362451">
        <w:rPr>
          <w:b/>
          <w:sz w:val="24"/>
          <w:szCs w:val="24"/>
        </w:rPr>
        <w:t>Парбигского</w:t>
      </w:r>
      <w:r>
        <w:rPr>
          <w:b/>
          <w:sz w:val="24"/>
          <w:szCs w:val="24"/>
        </w:rPr>
        <w:t xml:space="preserve"> сельского поселения</w:t>
      </w:r>
    </w:p>
    <w:p w:rsidR="00007716" w:rsidRPr="009E7B41" w:rsidRDefault="00007716" w:rsidP="00007716">
      <w:pPr>
        <w:pStyle w:val="ConsPlusNormal"/>
        <w:jc w:val="center"/>
        <w:rPr>
          <w:sz w:val="24"/>
          <w:szCs w:val="24"/>
        </w:rPr>
      </w:pP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Настоящие ключевые показатели (далее – «ключевые показатели») устанавливаются в целях оценки эффективности функционирования антимонопольного комплаенса в Администрации </w:t>
      </w:r>
      <w:r w:rsidR="00362451" w:rsidRPr="00362451">
        <w:rPr>
          <w:sz w:val="24"/>
          <w:szCs w:val="24"/>
        </w:rPr>
        <w:t>Парбигского</w:t>
      </w:r>
      <w:r w:rsidR="00362451">
        <w:t xml:space="preserve"> </w:t>
      </w:r>
      <w:r>
        <w:rPr>
          <w:sz w:val="24"/>
          <w:szCs w:val="24"/>
        </w:rPr>
        <w:t>сельского поселения</w:t>
      </w:r>
      <w:r w:rsidRPr="009E7B41">
        <w:rPr>
          <w:sz w:val="24"/>
          <w:szCs w:val="24"/>
        </w:rPr>
        <w:t xml:space="preserve"> (далее – «Администрация»). 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Оценка достижения ключевых показателей проводится </w:t>
      </w:r>
      <w:r>
        <w:rPr>
          <w:sz w:val="24"/>
          <w:szCs w:val="24"/>
        </w:rPr>
        <w:t>должностным лицом.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Период, за который проводится оценка достижения ключевых показателей – календарный год. 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высокая эффективность – от 80 до 100 баллов</w:t>
      </w:r>
      <w:r>
        <w:rPr>
          <w:sz w:val="24"/>
          <w:szCs w:val="24"/>
        </w:rPr>
        <w:t>;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средняя эффективность – от 60 до 79 баллов</w:t>
      </w:r>
      <w:r>
        <w:rPr>
          <w:sz w:val="24"/>
          <w:szCs w:val="24"/>
        </w:rPr>
        <w:t>;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низкая эффективность – от 20 до 59 баллов</w:t>
      </w:r>
      <w:r>
        <w:rPr>
          <w:sz w:val="24"/>
          <w:szCs w:val="24"/>
        </w:rPr>
        <w:t>;</w:t>
      </w:r>
    </w:p>
    <w:p w:rsidR="0000771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неэффективно – ниже 19 баллов</w:t>
      </w:r>
      <w:r>
        <w:rPr>
          <w:sz w:val="24"/>
          <w:szCs w:val="24"/>
        </w:rPr>
        <w:t>.</w:t>
      </w:r>
    </w:p>
    <w:p w:rsidR="00007716" w:rsidRDefault="00007716" w:rsidP="00007716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559"/>
        <w:gridCol w:w="1524"/>
      </w:tblGrid>
      <w:tr w:rsidR="00007716" w:rsidRPr="001D5C6F" w:rsidTr="00EF0706">
        <w:tc>
          <w:tcPr>
            <w:tcW w:w="675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Ключевые показатели эффективности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Расчет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Оценка (балл)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Коэффициент снижения количества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по сравнению с предыдущим годом</w:t>
            </w:r>
            <w:r w:rsidRPr="002B21D2">
              <w:rPr>
                <w:rStyle w:val="a7"/>
                <w:rFonts w:ascii="Times New Roman" w:hAnsi="Times New Roman" w:cs="Times New Roman"/>
                <w:spacing w:val="-4"/>
              </w:rPr>
              <w:footnoteReference w:id="2"/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&gt;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по итогам «общественных обсуждений»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</w:t>
            </w:r>
            <w:r w:rsidR="00362451">
              <w:rPr>
                <w:rFonts w:ascii="Times New Roman" w:hAnsi="Times New Roman" w:cs="Times New Roman"/>
                <w:spacing w:val="-4"/>
              </w:rPr>
              <w:t>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антимонопольным органом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Выполнение мероприятий по снижению рисков нарушения антимонопольного законодательства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работников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комплаенсу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</w:rPr>
              <w:t>≥</w:t>
            </w:r>
            <w:r w:rsidRPr="002B21D2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rPr>
          <w:trHeight w:val="71"/>
        </w:trPr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1D5C6F" w:rsidRDefault="00007716" w:rsidP="00EF0706"/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&lt;50%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</w:tbl>
    <w:p w:rsidR="00007716" w:rsidRPr="009E0DE5" w:rsidRDefault="00007716" w:rsidP="00007716">
      <w:pPr>
        <w:pStyle w:val="ConsPlusTitle"/>
        <w:spacing w:line="360" w:lineRule="auto"/>
        <w:rPr>
          <w:b w:val="0"/>
          <w:sz w:val="24"/>
          <w:szCs w:val="24"/>
        </w:rPr>
      </w:pPr>
    </w:p>
    <w:p w:rsidR="00AC028F" w:rsidRDefault="00AC028F"/>
    <w:sectPr w:rsidR="00AC028F" w:rsidSect="006326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4F3" w:rsidRDefault="008304F3" w:rsidP="00007716">
      <w:r>
        <w:separator/>
      </w:r>
    </w:p>
  </w:endnote>
  <w:endnote w:type="continuationSeparator" w:id="1">
    <w:p w:rsidR="008304F3" w:rsidRDefault="008304F3" w:rsidP="0000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4F3" w:rsidRDefault="008304F3" w:rsidP="00007716">
      <w:r>
        <w:separator/>
      </w:r>
    </w:p>
  </w:footnote>
  <w:footnote w:type="continuationSeparator" w:id="1">
    <w:p w:rsidR="008304F3" w:rsidRDefault="008304F3" w:rsidP="00007716">
      <w:r>
        <w:continuationSeparator/>
      </w:r>
    </w:p>
  </w:footnote>
  <w:footnote w:id="2">
    <w:p w:rsidR="00007716" w:rsidRDefault="00007716" w:rsidP="0000771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74459">
        <w:t>В случае отсутствия нарушений антимонопольного законодательства в отчетном и предыдущем годах показатель равен 20 баллов</w:t>
      </w:r>
      <w: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FA0"/>
    <w:multiLevelType w:val="hybridMultilevel"/>
    <w:tmpl w:val="757A5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8DA"/>
    <w:rsid w:val="00007716"/>
    <w:rsid w:val="000B5CBD"/>
    <w:rsid w:val="002B2819"/>
    <w:rsid w:val="002D62D2"/>
    <w:rsid w:val="00357141"/>
    <w:rsid w:val="00362451"/>
    <w:rsid w:val="00412AC9"/>
    <w:rsid w:val="00445BF8"/>
    <w:rsid w:val="00470FFC"/>
    <w:rsid w:val="004B4675"/>
    <w:rsid w:val="0050017A"/>
    <w:rsid w:val="005748DA"/>
    <w:rsid w:val="007D46D2"/>
    <w:rsid w:val="00830030"/>
    <w:rsid w:val="008304F3"/>
    <w:rsid w:val="00AB1CD1"/>
    <w:rsid w:val="00AC028F"/>
    <w:rsid w:val="00B924B9"/>
    <w:rsid w:val="00BB023F"/>
    <w:rsid w:val="00C95B4D"/>
    <w:rsid w:val="00D1524C"/>
    <w:rsid w:val="00DC0252"/>
    <w:rsid w:val="00E255B9"/>
    <w:rsid w:val="00ED260D"/>
    <w:rsid w:val="00EE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8DA"/>
    <w:rPr>
      <w:color w:val="0000FF"/>
      <w:u w:val="single"/>
    </w:rPr>
  </w:style>
  <w:style w:type="paragraph" w:customStyle="1" w:styleId="ConsPlusNormal">
    <w:name w:val="ConsPlusNormal"/>
    <w:rsid w:val="00007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07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007716"/>
    <w:pPr>
      <w:ind w:left="720" w:firstLine="709"/>
      <w:contextualSpacing/>
    </w:pPr>
    <w:rPr>
      <w:sz w:val="26"/>
      <w:szCs w:val="20"/>
    </w:rPr>
  </w:style>
  <w:style w:type="paragraph" w:styleId="a5">
    <w:name w:val="footnote text"/>
    <w:basedOn w:val="a"/>
    <w:link w:val="a6"/>
    <w:uiPriority w:val="99"/>
    <w:unhideWhenUsed/>
    <w:rsid w:val="00007716"/>
    <w:pPr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07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007716"/>
    <w:rPr>
      <w:vertAlign w:val="superscript"/>
    </w:rPr>
  </w:style>
  <w:style w:type="paragraph" w:customStyle="1" w:styleId="Default">
    <w:name w:val="Default"/>
    <w:rsid w:val="00007716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951C77C2F841DFB2618218B2C9C903F5278727766EF48304B9457B7F13DF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8C45A6AB7C44DF122823CC712CCE41859CB782E861DFB2618218B2C9C903F5278727766EF48304B9457B7F13DF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1708</Words>
  <Characters>9736</Characters>
  <Application>Microsoft Office Word</Application>
  <DocSecurity>0</DocSecurity>
  <Lines>81</Lines>
  <Paragraphs>22</Paragraphs>
  <ScaleCrop>false</ScaleCrop>
  <Company>Grizli777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Сервер</cp:lastModifiedBy>
  <cp:revision>2</cp:revision>
  <cp:lastPrinted>2023-03-20T09:52:00Z</cp:lastPrinted>
  <dcterms:created xsi:type="dcterms:W3CDTF">2023-12-26T10:15:00Z</dcterms:created>
  <dcterms:modified xsi:type="dcterms:W3CDTF">2023-12-26T10:15:00Z</dcterms:modified>
</cp:coreProperties>
</file>